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A4B4" w14:textId="77777777" w:rsidR="00421C55" w:rsidRDefault="00421C55" w:rsidP="00421C55">
      <w:pPr>
        <w:spacing w:after="0" w:line="240" w:lineRule="auto"/>
        <w:jc w:val="center"/>
        <w:rPr>
          <w:sz w:val="28"/>
          <w:szCs w:val="28"/>
        </w:rPr>
      </w:pPr>
      <w:r>
        <w:rPr>
          <w:b/>
          <w:sz w:val="28"/>
          <w:szCs w:val="28"/>
        </w:rPr>
        <w:t xml:space="preserve">Request for Exceptional Early Disabling of </w:t>
      </w:r>
      <w:proofErr w:type="spellStart"/>
      <w:r>
        <w:rPr>
          <w:b/>
          <w:sz w:val="28"/>
          <w:szCs w:val="28"/>
        </w:rPr>
        <w:t>CalNet</w:t>
      </w:r>
      <w:proofErr w:type="spellEnd"/>
      <w:r>
        <w:rPr>
          <w:b/>
          <w:sz w:val="28"/>
          <w:szCs w:val="28"/>
        </w:rPr>
        <w:t xml:space="preserve"> Account </w:t>
      </w:r>
    </w:p>
    <w:p w14:paraId="7F727E14" w14:textId="77777777" w:rsidR="00421C55" w:rsidRDefault="00421C55" w:rsidP="00421C55">
      <w:pPr>
        <w:spacing w:after="0" w:line="240" w:lineRule="auto"/>
        <w:jc w:val="center"/>
        <w:rPr>
          <w:sz w:val="24"/>
          <w:szCs w:val="24"/>
        </w:rPr>
      </w:pPr>
      <w:r>
        <w:rPr>
          <w:i/>
        </w:rPr>
        <w:t xml:space="preserve">Submit scanned printed copy of this form with signature via email to </w:t>
      </w:r>
      <w:hyperlink r:id="rId7">
        <w:r>
          <w:rPr>
            <w:i/>
            <w:color w:val="0000FF"/>
            <w:u w:val="single"/>
          </w:rPr>
          <w:t>itpolicy@berkeley.edu</w:t>
        </w:r>
      </w:hyperlink>
    </w:p>
    <w:p w14:paraId="665BCCA9" w14:textId="77777777" w:rsidR="00421C55" w:rsidRDefault="00421C55" w:rsidP="00421C55">
      <w:pPr>
        <w:spacing w:after="0" w:line="240" w:lineRule="auto"/>
        <w:rPr>
          <w:sz w:val="16"/>
          <w:szCs w:val="16"/>
        </w:rPr>
      </w:pPr>
    </w:p>
    <w:p w14:paraId="6AC751EC" w14:textId="77777777" w:rsidR="00421C55" w:rsidRDefault="00421C55" w:rsidP="00421C55">
      <w:pPr>
        <w:spacing w:after="0" w:line="240" w:lineRule="auto"/>
      </w:pPr>
      <w:r>
        <w:t xml:space="preserve">This form is intended to be used for </w:t>
      </w:r>
      <w:r>
        <w:rPr>
          <w:b/>
        </w:rPr>
        <w:t xml:space="preserve">emergency early </w:t>
      </w:r>
      <w:proofErr w:type="spellStart"/>
      <w:r>
        <w:rPr>
          <w:b/>
        </w:rPr>
        <w:t>CalNet</w:t>
      </w:r>
      <w:proofErr w:type="spellEnd"/>
      <w:r>
        <w:rPr>
          <w:b/>
        </w:rPr>
        <w:t xml:space="preserve"> account termination for employees separated from the University</w:t>
      </w:r>
      <w:r>
        <w:t xml:space="preserve">, and will eliminate the usual </w:t>
      </w:r>
      <w:proofErr w:type="gramStart"/>
      <w:r>
        <w:t>90 da</w:t>
      </w:r>
      <w:bookmarkStart w:id="0" w:name="_GoBack"/>
      <w:bookmarkEnd w:id="0"/>
      <w:r>
        <w:t>y</w:t>
      </w:r>
      <w:proofErr w:type="gramEnd"/>
      <w:r>
        <w:t xml:space="preserve"> grace period of account availability.  For temporary suspension of accounts for employees expected to return to the University, please use the Request for Temporary Disabling form available here: </w:t>
      </w:r>
      <w:hyperlink r:id="rId8" w:history="1">
        <w:r w:rsidRPr="00480001">
          <w:rPr>
            <w:rStyle w:val="Hyperlink"/>
          </w:rPr>
          <w:t>https://security.berkeley.edu/sites/default/files/requestfortempexceptionalearlydisablingform.docx</w:t>
        </w:r>
      </w:hyperlink>
      <w:r>
        <w:t xml:space="preserve"> </w:t>
      </w:r>
    </w:p>
    <w:p w14:paraId="7B9EC577" w14:textId="77777777" w:rsidR="00421C55" w:rsidRDefault="00421C55" w:rsidP="00421C55">
      <w:pPr>
        <w:pBdr>
          <w:top w:val="nil"/>
          <w:left w:val="nil"/>
          <w:bottom w:val="nil"/>
          <w:right w:val="nil"/>
          <w:between w:val="nil"/>
        </w:pBdr>
        <w:spacing w:after="60" w:line="240" w:lineRule="auto"/>
        <w:rPr>
          <w:color w:val="000000"/>
          <w:sz w:val="16"/>
          <w:szCs w:val="16"/>
        </w:rPr>
      </w:pPr>
    </w:p>
    <w:p w14:paraId="150A5474" w14:textId="77777777" w:rsidR="00421C55" w:rsidRDefault="00421C55" w:rsidP="00421C55">
      <w:pPr>
        <w:pBdr>
          <w:top w:val="nil"/>
          <w:left w:val="nil"/>
          <w:bottom w:val="nil"/>
          <w:right w:val="nil"/>
          <w:between w:val="nil"/>
        </w:pBdr>
        <w:spacing w:after="60" w:line="240" w:lineRule="auto"/>
        <w:rPr>
          <w:color w:val="000000"/>
        </w:rPr>
      </w:pPr>
      <w:r>
        <w:rPr>
          <w:b/>
          <w:color w:val="000000"/>
        </w:rPr>
        <w:t xml:space="preserve">Important Notes: </w:t>
      </w:r>
    </w:p>
    <w:p w14:paraId="4856A11C" w14:textId="77777777" w:rsidR="00421C55" w:rsidRDefault="00421C55" w:rsidP="00421C55">
      <w:pPr>
        <w:numPr>
          <w:ilvl w:val="0"/>
          <w:numId w:val="2"/>
        </w:numPr>
        <w:pBdr>
          <w:top w:val="nil"/>
          <w:left w:val="nil"/>
          <w:bottom w:val="nil"/>
          <w:right w:val="nil"/>
          <w:between w:val="nil"/>
        </w:pBdr>
        <w:spacing w:after="0" w:line="240" w:lineRule="auto"/>
        <w:ind w:left="360"/>
        <w:rPr>
          <w:color w:val="000000"/>
        </w:rPr>
      </w:pPr>
      <w:r>
        <w:t xml:space="preserve">Deactivation of the </w:t>
      </w:r>
      <w:proofErr w:type="spellStart"/>
      <w:r>
        <w:t>CalNet</w:t>
      </w:r>
      <w:proofErr w:type="spellEnd"/>
      <w:r>
        <w:t xml:space="preserve"> account terminates access to centrally managed, </w:t>
      </w:r>
      <w:proofErr w:type="spellStart"/>
      <w:r>
        <w:t>CalNet</w:t>
      </w:r>
      <w:proofErr w:type="spellEnd"/>
      <w:r>
        <w:t xml:space="preserve"> authenticated services </w:t>
      </w:r>
      <w:r>
        <w:rPr>
          <w:b/>
        </w:rPr>
        <w:t xml:space="preserve">including </w:t>
      </w:r>
      <w:proofErr w:type="spellStart"/>
      <w:r>
        <w:rPr>
          <w:b/>
        </w:rPr>
        <w:t>bMail</w:t>
      </w:r>
      <w:proofErr w:type="spellEnd"/>
      <w:r>
        <w:rPr>
          <w:b/>
        </w:rPr>
        <w:t xml:space="preserve">, </w:t>
      </w:r>
      <w:proofErr w:type="spellStart"/>
      <w:r>
        <w:rPr>
          <w:b/>
        </w:rPr>
        <w:t>GSuite</w:t>
      </w:r>
      <w:proofErr w:type="spellEnd"/>
      <w:r>
        <w:rPr>
          <w:b/>
        </w:rPr>
        <w:t xml:space="preserve">, and </w:t>
      </w:r>
      <w:proofErr w:type="spellStart"/>
      <w:r>
        <w:rPr>
          <w:b/>
        </w:rPr>
        <w:t>bConnected</w:t>
      </w:r>
      <w:proofErr w:type="spellEnd"/>
      <w:r>
        <w:t xml:space="preserve">. </w:t>
      </w:r>
      <w:r>
        <w:br/>
        <w:t xml:space="preserve">It DOES NOT terminate access to all campus applications. You should review employee access to campus systems that do not use </w:t>
      </w:r>
      <w:proofErr w:type="spellStart"/>
      <w:r>
        <w:t>CalNet</w:t>
      </w:r>
      <w:proofErr w:type="spellEnd"/>
      <w:r>
        <w:t xml:space="preserve"> authentication, </w:t>
      </w:r>
      <w:r>
        <w:br/>
        <w:t xml:space="preserve">and </w:t>
      </w:r>
      <w:proofErr w:type="gramStart"/>
      <w:r>
        <w:t>take action</w:t>
      </w:r>
      <w:proofErr w:type="gramEnd"/>
      <w:r>
        <w:t xml:space="preserve"> with the service providers as needed.</w:t>
      </w:r>
    </w:p>
    <w:p w14:paraId="3E6F8723" w14:textId="77777777" w:rsidR="00421C55" w:rsidRDefault="00421C55" w:rsidP="00421C55">
      <w:pPr>
        <w:numPr>
          <w:ilvl w:val="0"/>
          <w:numId w:val="2"/>
        </w:numPr>
        <w:spacing w:after="0" w:line="240" w:lineRule="auto"/>
        <w:ind w:left="360"/>
      </w:pPr>
      <w:r>
        <w:t>The employee MUST be permitted access to remove any personal files or data from campus systems before their accounts are terminated.  It is suggested that the department manager supervise the employee during the data transfer process.</w:t>
      </w:r>
    </w:p>
    <w:p w14:paraId="57A02CFE" w14:textId="08A2128B" w:rsidR="00421C55" w:rsidRDefault="00421C55" w:rsidP="00421C55">
      <w:pPr>
        <w:numPr>
          <w:ilvl w:val="0"/>
          <w:numId w:val="1"/>
        </w:numPr>
        <w:spacing w:after="0" w:line="240" w:lineRule="auto"/>
        <w:ind w:left="360"/>
        <w:rPr>
          <w:color w:val="000000"/>
        </w:rPr>
      </w:pPr>
      <w:r>
        <w:t>Due to privacy and staff resource concerns, it is not standard practice to provide a department access to a former employee</w:t>
      </w:r>
      <w:r w:rsidR="001E51B2">
        <w:t>’</w:t>
      </w:r>
      <w:r>
        <w:t xml:space="preserve">s email accounts. See </w:t>
      </w:r>
      <w:hyperlink r:id="rId9">
        <w:r>
          <w:rPr>
            <w:i/>
            <w:color w:val="0000FF"/>
            <w:u w:val="single"/>
          </w:rPr>
          <w:t>https://ethics.berkeley.edu/privacy/resources/authorization-access-electronic-communications</w:t>
        </w:r>
      </w:hyperlink>
      <w:r>
        <w:t xml:space="preserve"> for details. </w:t>
      </w:r>
    </w:p>
    <w:p w14:paraId="36EAFFF7" w14:textId="77777777" w:rsidR="00421C55" w:rsidRDefault="00421C55" w:rsidP="00421C55">
      <w:pPr>
        <w:spacing w:after="0" w:line="240" w:lineRule="auto"/>
      </w:pPr>
    </w:p>
    <w:p w14:paraId="706A6B96" w14:textId="77777777" w:rsidR="00421C55" w:rsidRPr="006C2567" w:rsidRDefault="00421C55" w:rsidP="00421C55">
      <w:pPr>
        <w:spacing w:after="0" w:line="240" w:lineRule="auto"/>
        <w:rPr>
          <w:u w:val="single"/>
        </w:rPr>
      </w:pPr>
      <w:r>
        <w:t xml:space="preserve">Based on a review of operational needs and human resource implications, our department, </w:t>
      </w:r>
      <w:r>
        <w:rPr>
          <w:u w:val="single"/>
        </w:rPr>
        <w:tab/>
      </w:r>
      <w:r>
        <w:rPr>
          <w:u w:val="single"/>
        </w:rPr>
        <w:tab/>
      </w:r>
      <w:r>
        <w:rPr>
          <w:u w:val="single"/>
        </w:rPr>
        <w:tab/>
      </w:r>
      <w:r>
        <w:rPr>
          <w:u w:val="single"/>
        </w:rPr>
        <w:tab/>
      </w:r>
      <w:r>
        <w:rPr>
          <w:u w:val="single"/>
        </w:rPr>
        <w:tab/>
      </w:r>
      <w:r>
        <w:rPr>
          <w:u w:val="single"/>
        </w:rPr>
        <w:tab/>
      </w:r>
      <w:r>
        <w:rPr>
          <w:u w:val="single"/>
        </w:rPr>
        <w:tab/>
      </w:r>
    </w:p>
    <w:p w14:paraId="274FF292" w14:textId="026591C8" w:rsidR="001167BA" w:rsidRPr="00421C55" w:rsidRDefault="00421C55" w:rsidP="00421C55">
      <w:pPr>
        <w:spacing w:after="0" w:line="240" w:lineRule="auto"/>
        <w:rPr>
          <w:u w:val="single"/>
        </w:rPr>
      </w:pPr>
      <w:r>
        <w:t>requests that IST deactivate the following account(s) before the normal account expiration date (before the end of the standard “grace period”</w:t>
      </w:r>
      <w:proofErr w:type="gramStart"/>
      <w:r>
        <w:t>).</w:t>
      </w:r>
      <w:r>
        <w:rPr>
          <w:color w:val="C0504D"/>
        </w:rPr>
        <w:t>*</w:t>
      </w:r>
      <w:proofErr w:type="gramEnd"/>
      <w:r>
        <w:rPr>
          <w:color w:val="C0504D"/>
        </w:rPr>
        <w:t xml:space="preserve">* </w:t>
      </w:r>
      <w:r>
        <w:rPr>
          <w:u w:val="single"/>
        </w:rPr>
        <w:br/>
      </w:r>
    </w:p>
    <w:tbl>
      <w:tblPr>
        <w:tblW w:w="14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465"/>
        <w:gridCol w:w="1455"/>
        <w:gridCol w:w="1290"/>
        <w:gridCol w:w="2870"/>
        <w:gridCol w:w="1720"/>
        <w:gridCol w:w="2060"/>
        <w:gridCol w:w="1780"/>
      </w:tblGrid>
      <w:tr w:rsidR="00421C55" w14:paraId="433664F1" w14:textId="77777777" w:rsidTr="00313E01">
        <w:trPr>
          <w:trHeight w:hRule="exact" w:val="691"/>
        </w:trPr>
        <w:tc>
          <w:tcPr>
            <w:tcW w:w="3465" w:type="dxa"/>
          </w:tcPr>
          <w:p w14:paraId="1EF1ACE0" w14:textId="71DB10F7" w:rsidR="00421C55" w:rsidRDefault="00421C55" w:rsidP="00313E01">
            <w:pPr>
              <w:jc w:val="center"/>
            </w:pPr>
            <w:r>
              <w:t>Employee Name</w:t>
            </w:r>
            <w:r w:rsidR="00313E01">
              <w:br/>
            </w:r>
            <w:r>
              <w:rPr>
                <w:sz w:val="20"/>
                <w:szCs w:val="20"/>
              </w:rPr>
              <w:t>(last, MI, first)</w:t>
            </w:r>
          </w:p>
        </w:tc>
        <w:tc>
          <w:tcPr>
            <w:tcW w:w="1455" w:type="dxa"/>
          </w:tcPr>
          <w:p w14:paraId="3881D682" w14:textId="77777777" w:rsidR="00421C55" w:rsidRDefault="00421C55" w:rsidP="001C6787">
            <w:pPr>
              <w:jc w:val="center"/>
            </w:pPr>
            <w:r>
              <w:t>Employee Number</w:t>
            </w:r>
          </w:p>
        </w:tc>
        <w:tc>
          <w:tcPr>
            <w:tcW w:w="1290" w:type="dxa"/>
          </w:tcPr>
          <w:p w14:paraId="22F2B0A1" w14:textId="40C359D8" w:rsidR="00421C55" w:rsidRDefault="00421C55" w:rsidP="00313E01">
            <w:pPr>
              <w:jc w:val="center"/>
            </w:pPr>
            <w:proofErr w:type="spellStart"/>
            <w:r>
              <w:t>CalNet</w:t>
            </w:r>
            <w:proofErr w:type="spellEnd"/>
            <w:r>
              <w:t xml:space="preserve"> ID</w:t>
            </w:r>
          </w:p>
        </w:tc>
        <w:tc>
          <w:tcPr>
            <w:tcW w:w="2870" w:type="dxa"/>
          </w:tcPr>
          <w:p w14:paraId="5C12E462" w14:textId="2895D0C3" w:rsidR="00421C55" w:rsidRDefault="00421C55" w:rsidP="00313E01">
            <w:pPr>
              <w:jc w:val="center"/>
            </w:pPr>
            <w:r>
              <w:t>Email Account Name</w:t>
            </w:r>
            <w:r w:rsidR="00313E01">
              <w:br/>
            </w:r>
            <w:r>
              <w:rPr>
                <w:sz w:val="20"/>
                <w:szCs w:val="20"/>
              </w:rPr>
              <w:t>(if known</w:t>
            </w:r>
            <w:r w:rsidR="00313E01">
              <w:rPr>
                <w:sz w:val="20"/>
                <w:szCs w:val="20"/>
              </w:rPr>
              <w:t>)</w:t>
            </w:r>
          </w:p>
        </w:tc>
        <w:tc>
          <w:tcPr>
            <w:tcW w:w="1720" w:type="dxa"/>
            <w:tcBorders>
              <w:right w:val="single" w:sz="8" w:space="0" w:color="000000"/>
            </w:tcBorders>
          </w:tcPr>
          <w:p w14:paraId="5BD06A07" w14:textId="7F45FBEA" w:rsidR="00421C55" w:rsidRDefault="00421C55" w:rsidP="00313E01">
            <w:pPr>
              <w:spacing w:line="240" w:lineRule="auto"/>
              <w:jc w:val="center"/>
            </w:pPr>
            <w:r>
              <w:t>Payroll Separation</w:t>
            </w:r>
            <w:r w:rsidR="00313E01">
              <w:t xml:space="preserve"> </w:t>
            </w:r>
            <w:r>
              <w:t>Date</w:t>
            </w:r>
          </w:p>
        </w:tc>
        <w:tc>
          <w:tcPr>
            <w:tcW w:w="2060" w:type="dxa"/>
            <w:tcBorders>
              <w:top w:val="single" w:sz="8" w:space="0" w:color="000000"/>
              <w:left w:val="single" w:sz="8" w:space="0" w:color="000000"/>
            </w:tcBorders>
          </w:tcPr>
          <w:p w14:paraId="658073FE" w14:textId="77777777" w:rsidR="00421C55" w:rsidRDefault="00421C55" w:rsidP="00313E01">
            <w:pPr>
              <w:spacing w:line="240" w:lineRule="auto"/>
              <w:jc w:val="center"/>
            </w:pPr>
            <w:r>
              <w:t xml:space="preserve">Only disable email/ </w:t>
            </w:r>
            <w:proofErr w:type="spellStart"/>
            <w:r>
              <w:t>GSuite</w:t>
            </w:r>
            <w:proofErr w:type="spellEnd"/>
            <w:r>
              <w:t xml:space="preserve">, NOT </w:t>
            </w:r>
            <w:proofErr w:type="spellStart"/>
            <w:r>
              <w:t>CalNet</w:t>
            </w:r>
            <w:proofErr w:type="spellEnd"/>
            <w:r>
              <w:t>?</w:t>
            </w:r>
          </w:p>
        </w:tc>
        <w:tc>
          <w:tcPr>
            <w:tcW w:w="1780" w:type="dxa"/>
            <w:tcBorders>
              <w:top w:val="single" w:sz="8" w:space="0" w:color="000000"/>
              <w:right w:val="single" w:sz="8" w:space="0" w:color="000000"/>
            </w:tcBorders>
          </w:tcPr>
          <w:p w14:paraId="6476F8DF" w14:textId="0FAE538E" w:rsidR="00421C55" w:rsidRDefault="00421C55" w:rsidP="00313E01">
            <w:pPr>
              <w:spacing w:line="240" w:lineRule="auto"/>
              <w:jc w:val="center"/>
            </w:pPr>
            <w:r>
              <w:t xml:space="preserve">Set email auto-reply </w:t>
            </w:r>
            <w:proofErr w:type="gramStart"/>
            <w:r>
              <w:t>message?</w:t>
            </w:r>
            <w:r>
              <w:rPr>
                <w:color w:val="C0504D"/>
              </w:rPr>
              <w:t>*</w:t>
            </w:r>
            <w:proofErr w:type="gramEnd"/>
          </w:p>
        </w:tc>
      </w:tr>
      <w:tr w:rsidR="00421C55" w14:paraId="068E0BB2" w14:textId="77777777" w:rsidTr="00313E01">
        <w:trPr>
          <w:trHeight w:hRule="exact" w:val="504"/>
        </w:trPr>
        <w:tc>
          <w:tcPr>
            <w:tcW w:w="3465" w:type="dxa"/>
          </w:tcPr>
          <w:p w14:paraId="18CB5AE7" w14:textId="77777777" w:rsidR="00421C55" w:rsidRDefault="00421C55" w:rsidP="001C6787"/>
        </w:tc>
        <w:tc>
          <w:tcPr>
            <w:tcW w:w="1455" w:type="dxa"/>
          </w:tcPr>
          <w:p w14:paraId="4C6B123B" w14:textId="77777777" w:rsidR="00421C55" w:rsidRDefault="00421C55" w:rsidP="001C6787"/>
        </w:tc>
        <w:tc>
          <w:tcPr>
            <w:tcW w:w="1290" w:type="dxa"/>
          </w:tcPr>
          <w:p w14:paraId="42A731C2" w14:textId="77777777" w:rsidR="00421C55" w:rsidRDefault="00421C55" w:rsidP="001C6787"/>
        </w:tc>
        <w:tc>
          <w:tcPr>
            <w:tcW w:w="2870" w:type="dxa"/>
          </w:tcPr>
          <w:p w14:paraId="232CAE87" w14:textId="77777777" w:rsidR="00421C55" w:rsidRDefault="00421C55" w:rsidP="001C6787"/>
        </w:tc>
        <w:tc>
          <w:tcPr>
            <w:tcW w:w="1720" w:type="dxa"/>
            <w:tcBorders>
              <w:right w:val="single" w:sz="8" w:space="0" w:color="000000"/>
            </w:tcBorders>
          </w:tcPr>
          <w:p w14:paraId="04303CB9" w14:textId="77777777" w:rsidR="00421C55" w:rsidRDefault="00421C55" w:rsidP="001C6787">
            <w:pPr>
              <w:jc w:val="center"/>
            </w:pPr>
            <w:r>
              <w:rPr>
                <w:i/>
                <w:color w:val="050606"/>
                <w:sz w:val="18"/>
                <w:szCs w:val="18"/>
                <w:u w:val="single"/>
              </w:rPr>
              <w:t>00/00/0000</w:t>
            </w:r>
          </w:p>
        </w:tc>
        <w:tc>
          <w:tcPr>
            <w:tcW w:w="2060" w:type="dxa"/>
            <w:tcBorders>
              <w:left w:val="single" w:sz="8" w:space="0" w:color="000000"/>
            </w:tcBorders>
          </w:tcPr>
          <w:p w14:paraId="49964A37"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c>
          <w:tcPr>
            <w:tcW w:w="1780" w:type="dxa"/>
            <w:tcBorders>
              <w:right w:val="single" w:sz="8" w:space="0" w:color="000000"/>
            </w:tcBorders>
          </w:tcPr>
          <w:p w14:paraId="25AA04FC"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r>
      <w:tr w:rsidR="00421C55" w14:paraId="3C325341" w14:textId="77777777" w:rsidTr="00313E01">
        <w:trPr>
          <w:trHeight w:hRule="exact" w:val="504"/>
        </w:trPr>
        <w:tc>
          <w:tcPr>
            <w:tcW w:w="3465" w:type="dxa"/>
          </w:tcPr>
          <w:p w14:paraId="12635E78" w14:textId="77777777" w:rsidR="00421C55" w:rsidRDefault="00421C55" w:rsidP="001C6787"/>
        </w:tc>
        <w:tc>
          <w:tcPr>
            <w:tcW w:w="1455" w:type="dxa"/>
          </w:tcPr>
          <w:p w14:paraId="092BDAEB" w14:textId="77777777" w:rsidR="00421C55" w:rsidRDefault="00421C55" w:rsidP="001C6787"/>
        </w:tc>
        <w:tc>
          <w:tcPr>
            <w:tcW w:w="1290" w:type="dxa"/>
          </w:tcPr>
          <w:p w14:paraId="727A1B1F" w14:textId="77777777" w:rsidR="00421C55" w:rsidRDefault="00421C55" w:rsidP="001C6787"/>
        </w:tc>
        <w:tc>
          <w:tcPr>
            <w:tcW w:w="2870" w:type="dxa"/>
          </w:tcPr>
          <w:p w14:paraId="516F657A" w14:textId="77777777" w:rsidR="00421C55" w:rsidRDefault="00421C55" w:rsidP="001C6787"/>
        </w:tc>
        <w:tc>
          <w:tcPr>
            <w:tcW w:w="1720" w:type="dxa"/>
            <w:tcBorders>
              <w:right w:val="single" w:sz="8" w:space="0" w:color="000000"/>
            </w:tcBorders>
          </w:tcPr>
          <w:p w14:paraId="3994E4D8" w14:textId="77777777" w:rsidR="00421C55" w:rsidRDefault="00421C55" w:rsidP="001C6787">
            <w:pPr>
              <w:jc w:val="center"/>
            </w:pPr>
            <w:r>
              <w:rPr>
                <w:i/>
                <w:color w:val="050606"/>
                <w:sz w:val="18"/>
                <w:szCs w:val="18"/>
                <w:u w:val="single"/>
              </w:rPr>
              <w:t>00/00/0000</w:t>
            </w:r>
          </w:p>
        </w:tc>
        <w:tc>
          <w:tcPr>
            <w:tcW w:w="2060" w:type="dxa"/>
            <w:tcBorders>
              <w:left w:val="single" w:sz="8" w:space="0" w:color="000000"/>
            </w:tcBorders>
          </w:tcPr>
          <w:p w14:paraId="201BFF0C"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c>
          <w:tcPr>
            <w:tcW w:w="1780" w:type="dxa"/>
            <w:tcBorders>
              <w:right w:val="single" w:sz="8" w:space="0" w:color="000000"/>
            </w:tcBorders>
          </w:tcPr>
          <w:p w14:paraId="6D143B42"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r>
      <w:tr w:rsidR="00421C55" w14:paraId="66074FF6" w14:textId="77777777" w:rsidTr="00313E01">
        <w:trPr>
          <w:trHeight w:hRule="exact" w:val="504"/>
        </w:trPr>
        <w:tc>
          <w:tcPr>
            <w:tcW w:w="3465" w:type="dxa"/>
          </w:tcPr>
          <w:p w14:paraId="71B0BD40" w14:textId="77777777" w:rsidR="00421C55" w:rsidRDefault="00421C55" w:rsidP="001C6787"/>
        </w:tc>
        <w:tc>
          <w:tcPr>
            <w:tcW w:w="1455" w:type="dxa"/>
          </w:tcPr>
          <w:p w14:paraId="24593BE2" w14:textId="77777777" w:rsidR="00421C55" w:rsidRDefault="00421C55" w:rsidP="001C6787"/>
        </w:tc>
        <w:tc>
          <w:tcPr>
            <w:tcW w:w="1290" w:type="dxa"/>
          </w:tcPr>
          <w:p w14:paraId="0E5B1BDB" w14:textId="77777777" w:rsidR="00421C55" w:rsidRDefault="00421C55" w:rsidP="001C6787"/>
        </w:tc>
        <w:tc>
          <w:tcPr>
            <w:tcW w:w="2870" w:type="dxa"/>
          </w:tcPr>
          <w:p w14:paraId="5848505D" w14:textId="77777777" w:rsidR="00421C55" w:rsidRDefault="00421C55" w:rsidP="001C6787"/>
        </w:tc>
        <w:tc>
          <w:tcPr>
            <w:tcW w:w="1720" w:type="dxa"/>
            <w:tcBorders>
              <w:right w:val="single" w:sz="8" w:space="0" w:color="000000"/>
            </w:tcBorders>
          </w:tcPr>
          <w:p w14:paraId="693FD547" w14:textId="77777777" w:rsidR="00421C55" w:rsidRDefault="00421C55" w:rsidP="001C6787">
            <w:pPr>
              <w:jc w:val="center"/>
            </w:pPr>
            <w:r>
              <w:rPr>
                <w:i/>
                <w:color w:val="050606"/>
                <w:sz w:val="18"/>
                <w:szCs w:val="18"/>
                <w:u w:val="single"/>
              </w:rPr>
              <w:t>00/00/0000</w:t>
            </w:r>
          </w:p>
        </w:tc>
        <w:tc>
          <w:tcPr>
            <w:tcW w:w="2060" w:type="dxa"/>
            <w:tcBorders>
              <w:left w:val="single" w:sz="8" w:space="0" w:color="000000"/>
            </w:tcBorders>
          </w:tcPr>
          <w:p w14:paraId="50E5E84C"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c>
          <w:tcPr>
            <w:tcW w:w="1780" w:type="dxa"/>
            <w:tcBorders>
              <w:right w:val="single" w:sz="8" w:space="0" w:color="000000"/>
            </w:tcBorders>
          </w:tcPr>
          <w:p w14:paraId="1F0D8DD8" w14:textId="77777777" w:rsidR="00421C55" w:rsidRDefault="00421C55" w:rsidP="001C6787">
            <w:r>
              <w:t xml:space="preserve">  </w:t>
            </w:r>
            <w:r>
              <w:rPr>
                <w:rFonts w:ascii="Segoe UI Symbol" w:hAnsi="Segoe UI Symbol" w:cs="Segoe UI Symbol"/>
              </w:rPr>
              <w:t>☐</w:t>
            </w:r>
            <w:r>
              <w:t xml:space="preserve"> yes     </w:t>
            </w:r>
            <w:r>
              <w:rPr>
                <w:rFonts w:ascii="Segoe UI Symbol" w:hAnsi="Segoe UI Symbol" w:cs="Segoe UI Symbol"/>
              </w:rPr>
              <w:t>☐</w:t>
            </w:r>
            <w:r>
              <w:t xml:space="preserve"> no</w:t>
            </w:r>
          </w:p>
        </w:tc>
      </w:tr>
      <w:tr w:rsidR="00421C55" w14:paraId="014DBFEB" w14:textId="77777777" w:rsidTr="001C6787">
        <w:tc>
          <w:tcPr>
            <w:tcW w:w="14640" w:type="dxa"/>
            <w:gridSpan w:val="7"/>
          </w:tcPr>
          <w:p w14:paraId="54DEC58E" w14:textId="1BC6E30F" w:rsidR="00421C55" w:rsidRDefault="00421C55" w:rsidP="00833C22">
            <w:pPr>
              <w:spacing w:line="240" w:lineRule="auto"/>
            </w:pPr>
            <w:r>
              <w:t xml:space="preserve">Special instructions (optional): </w:t>
            </w:r>
            <w:r w:rsidR="00313E01">
              <w:br/>
            </w:r>
          </w:p>
        </w:tc>
      </w:tr>
    </w:tbl>
    <w:p w14:paraId="1251B910" w14:textId="77777777" w:rsidR="00421C55" w:rsidRDefault="00421C55" w:rsidP="00421C55">
      <w:pPr>
        <w:spacing w:before="60" w:after="120" w:line="240" w:lineRule="auto"/>
        <w:rPr>
          <w:sz w:val="16"/>
          <w:szCs w:val="16"/>
        </w:rPr>
      </w:pPr>
      <w:r>
        <w:rPr>
          <w:color w:val="C0504D"/>
        </w:rPr>
        <w:t xml:space="preserve">* </w:t>
      </w:r>
      <w:r>
        <w:t xml:space="preserve">Set an auto-reply (aka “vacation” message) on the email account to direct correspondents to send business email to a different address. (Incoming messages themselves are not forwarded.) Provide an auto-reply message for each account: </w:t>
      </w:r>
      <w:r>
        <w:rPr>
          <w:i/>
        </w:rPr>
        <w:t>e.g., "[John Smith] is no longer employed at UC Berkeley.  Please contact [the Department Office at dept@berkeley.edu] regarding all [administrative] matters."</w:t>
      </w:r>
    </w:p>
    <w:tbl>
      <w:tblPr>
        <w:tblW w:w="146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645"/>
      </w:tblGrid>
      <w:tr w:rsidR="00421C55" w14:paraId="23F95DB4" w14:textId="77777777" w:rsidTr="001C6787">
        <w:tc>
          <w:tcPr>
            <w:tcW w:w="14645" w:type="dxa"/>
            <w:shd w:val="clear" w:color="auto" w:fill="auto"/>
            <w:tcMar>
              <w:top w:w="100" w:type="dxa"/>
              <w:left w:w="100" w:type="dxa"/>
              <w:bottom w:w="100" w:type="dxa"/>
              <w:right w:w="100" w:type="dxa"/>
            </w:tcMar>
          </w:tcPr>
          <w:p w14:paraId="2F748404" w14:textId="3CF090D8" w:rsidR="00313E01" w:rsidRPr="00421C55" w:rsidRDefault="00421C55" w:rsidP="00833C22">
            <w:pPr>
              <w:spacing w:line="240" w:lineRule="auto"/>
              <w:rPr>
                <w:i/>
              </w:rPr>
            </w:pPr>
            <w:r>
              <w:rPr>
                <w:i/>
              </w:rPr>
              <w:t>Enter the vacation or forward message you would like placed on the account here:</w:t>
            </w:r>
            <w:r w:rsidR="00313E01">
              <w:rPr>
                <w:i/>
              </w:rPr>
              <w:br/>
            </w:r>
            <w:r w:rsidR="00313E01">
              <w:rPr>
                <w:i/>
              </w:rPr>
              <w:br/>
            </w:r>
          </w:p>
        </w:tc>
      </w:tr>
    </w:tbl>
    <w:p w14:paraId="308C8A79" w14:textId="77777777" w:rsidR="00421C55" w:rsidRDefault="00421C55" w:rsidP="00421C55">
      <w:pPr>
        <w:spacing w:after="0"/>
        <w:rPr>
          <w:b/>
        </w:rPr>
      </w:pPr>
    </w:p>
    <w:p w14:paraId="1AA913C2" w14:textId="77777777" w:rsidR="00421C55" w:rsidRDefault="00421C55" w:rsidP="00421C55">
      <w:pPr>
        <w:spacing w:after="0"/>
        <w:rPr>
          <w:b/>
        </w:rPr>
      </w:pPr>
    </w:p>
    <w:p w14:paraId="6367BE1C" w14:textId="77777777" w:rsidR="00421C55" w:rsidRDefault="00421C55" w:rsidP="00421C55">
      <w:pPr>
        <w:spacing w:after="0"/>
        <w:jc w:val="center"/>
        <w:rPr>
          <w:b/>
          <w:sz w:val="28"/>
          <w:szCs w:val="28"/>
        </w:rPr>
      </w:pPr>
      <w:r>
        <w:rPr>
          <w:b/>
          <w:sz w:val="28"/>
          <w:szCs w:val="28"/>
        </w:rPr>
        <w:t xml:space="preserve">Request for Exceptional Early Disabling of </w:t>
      </w:r>
      <w:proofErr w:type="spellStart"/>
      <w:r>
        <w:rPr>
          <w:b/>
          <w:sz w:val="28"/>
          <w:szCs w:val="28"/>
        </w:rPr>
        <w:t>CalNet</w:t>
      </w:r>
      <w:proofErr w:type="spellEnd"/>
      <w:r>
        <w:rPr>
          <w:b/>
          <w:sz w:val="28"/>
          <w:szCs w:val="28"/>
        </w:rPr>
        <w:t xml:space="preserve"> Account (pg. 2)</w:t>
      </w:r>
    </w:p>
    <w:p w14:paraId="1DF520B3" w14:textId="77777777" w:rsidR="00421C55" w:rsidRDefault="00421C55" w:rsidP="00421C55">
      <w:pPr>
        <w:spacing w:after="0"/>
        <w:rPr>
          <w:b/>
        </w:rPr>
      </w:pPr>
    </w:p>
    <w:p w14:paraId="5FF4356A" w14:textId="77777777" w:rsidR="00421C55" w:rsidRPr="00175576" w:rsidRDefault="00421C55" w:rsidP="00421C55">
      <w:pPr>
        <w:spacing w:after="0" w:line="360" w:lineRule="auto"/>
        <w:rPr>
          <w:u w:val="single"/>
        </w:rPr>
      </w:pPr>
      <w:r>
        <w:rPr>
          <w:b/>
        </w:rPr>
        <w:t>Authorized Departmental Official (Name):</w:t>
      </w:r>
      <w:r>
        <w:t xml:space="preserve"> </w:t>
      </w:r>
      <w:r>
        <w:rPr>
          <w:u w:val="single"/>
        </w:rPr>
        <w:t xml:space="preserve">                                                 </w:t>
      </w:r>
      <w:r>
        <w:t xml:space="preserve">   </w:t>
      </w:r>
      <w:r>
        <w:rPr>
          <w:b/>
        </w:rPr>
        <w:t>Email address:</w:t>
      </w:r>
      <w:r>
        <w:t xml:space="preserve"> </w:t>
      </w:r>
      <w:r>
        <w:rPr>
          <w:u w:val="single"/>
        </w:rPr>
        <w:t>                                           </w:t>
      </w:r>
      <w:r>
        <w:t xml:space="preserve">      </w:t>
      </w:r>
      <w:r>
        <w:rPr>
          <w:b/>
        </w:rPr>
        <w:t>Contact Phone #:</w:t>
      </w:r>
      <w:r>
        <w:t xml:space="preserve"> </w:t>
      </w:r>
      <w:r>
        <w:rPr>
          <w:u w:val="single"/>
        </w:rPr>
        <w:tab/>
      </w:r>
      <w:r>
        <w:rPr>
          <w:u w:val="single"/>
        </w:rPr>
        <w:tab/>
      </w:r>
      <w:r>
        <w:rPr>
          <w:u w:val="single"/>
        </w:rPr>
        <w:tab/>
      </w:r>
    </w:p>
    <w:p w14:paraId="36B1FACD" w14:textId="77777777" w:rsidR="00421C55" w:rsidRPr="00175576" w:rsidRDefault="00421C55" w:rsidP="00421C55">
      <w:pPr>
        <w:spacing w:after="0" w:line="360" w:lineRule="auto"/>
        <w:rPr>
          <w:u w:val="single"/>
        </w:rPr>
      </w:pPr>
      <w:r>
        <w:rPr>
          <w:b/>
        </w:rPr>
        <w:t>Title</w:t>
      </w:r>
      <w:r>
        <w:t xml:space="preserve"> </w:t>
      </w:r>
      <w:r>
        <w:rPr>
          <w:u w:val="single"/>
        </w:rPr>
        <w:t>                                                 </w:t>
      </w:r>
      <w:r>
        <w:t> </w:t>
      </w:r>
      <w:r>
        <w:t xml:space="preserve">      </w:t>
      </w:r>
      <w:r>
        <w:rPr>
          <w:b/>
        </w:rPr>
        <w:t xml:space="preserve">Signature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Pr="00175576">
        <w:rPr>
          <w:u w:val="single"/>
        </w:rPr>
        <w:t xml:space="preserve">   </w:t>
      </w:r>
    </w:p>
    <w:p w14:paraId="64EF5566" w14:textId="77777777" w:rsidR="00421C55" w:rsidRDefault="00421C55" w:rsidP="00421C55">
      <w:pPr>
        <w:spacing w:line="360" w:lineRule="auto"/>
      </w:pPr>
      <w:r>
        <w:rPr>
          <w:b/>
        </w:rPr>
        <w:t>Date Request Submitted:</w:t>
      </w:r>
      <w:r>
        <w:t xml:space="preserve"> </w:t>
      </w:r>
      <w:r>
        <w:rPr>
          <w:i/>
          <w:color w:val="050606"/>
          <w:u w:val="single"/>
        </w:rPr>
        <w:t> </w:t>
      </w:r>
      <w:r>
        <w:rPr>
          <w:i/>
          <w:color w:val="050606"/>
          <w:u w:val="single"/>
        </w:rPr>
        <w:t xml:space="preserve">     /    </w:t>
      </w:r>
      <w:r>
        <w:rPr>
          <w:i/>
          <w:color w:val="050606"/>
          <w:u w:val="single"/>
        </w:rPr>
        <w:t> </w:t>
      </w:r>
      <w:r>
        <w:rPr>
          <w:i/>
          <w:color w:val="050606"/>
          <w:u w:val="single"/>
        </w:rPr>
        <w:t>/    </w:t>
      </w:r>
      <w:r>
        <w:t xml:space="preserve">    </w:t>
      </w:r>
      <w:r>
        <w:rPr>
          <w:b/>
        </w:rPr>
        <w:t xml:space="preserve"> Requested Account Termination Date:</w:t>
      </w:r>
      <w:r>
        <w:t xml:space="preserve"> </w:t>
      </w:r>
      <w:r>
        <w:rPr>
          <w:i/>
          <w:color w:val="050606"/>
          <w:u w:val="single"/>
        </w:rPr>
        <w:t> </w:t>
      </w:r>
      <w:r>
        <w:rPr>
          <w:i/>
          <w:color w:val="050606"/>
          <w:u w:val="single"/>
        </w:rPr>
        <w:t xml:space="preserve">     /     /    </w:t>
      </w:r>
      <w:r>
        <w:t xml:space="preserve"> </w:t>
      </w:r>
      <w:r>
        <w:rPr>
          <w:b/>
        </w:rPr>
        <w:t xml:space="preserve"> and Time: </w:t>
      </w:r>
      <w:r>
        <w:rPr>
          <w:u w:val="single"/>
        </w:rPr>
        <w:t>                                </w:t>
      </w:r>
      <w:r>
        <w:rPr>
          <w:i/>
        </w:rPr>
        <w:tab/>
      </w:r>
      <w:r>
        <w:rPr>
          <w:i/>
        </w:rPr>
        <w:tab/>
      </w:r>
    </w:p>
    <w:p w14:paraId="4CAC1C78" w14:textId="77777777" w:rsidR="00421C55" w:rsidRDefault="00421C55" w:rsidP="00421C55">
      <w:pPr>
        <w:spacing w:after="60" w:line="240" w:lineRule="auto"/>
        <w:rPr>
          <w:sz w:val="16"/>
          <w:szCs w:val="16"/>
        </w:rPr>
      </w:pPr>
    </w:p>
    <w:p w14:paraId="01CD0F73" w14:textId="77777777" w:rsidR="00421C55" w:rsidRDefault="00421C55" w:rsidP="00421C55">
      <w:pPr>
        <w:pBdr>
          <w:top w:val="nil"/>
          <w:left w:val="nil"/>
          <w:bottom w:val="nil"/>
          <w:right w:val="nil"/>
          <w:between w:val="nil"/>
        </w:pBdr>
        <w:spacing w:after="60" w:line="240" w:lineRule="auto"/>
      </w:pPr>
      <w:r>
        <w:rPr>
          <w:color w:val="C0504D"/>
        </w:rPr>
        <w:t>**</w:t>
      </w:r>
      <w:r>
        <w:rPr>
          <w:color w:val="000000"/>
        </w:rPr>
        <w:t xml:space="preserve"> </w:t>
      </w:r>
      <w:r>
        <w:t xml:space="preserve">The standard </w:t>
      </w:r>
      <w:proofErr w:type="spellStart"/>
      <w:r w:rsidRPr="00C0548E">
        <w:t>CalNet</w:t>
      </w:r>
      <w:proofErr w:type="spellEnd"/>
      <w:r w:rsidRPr="00C0548E">
        <w:t xml:space="preserve"> Grace Period </w:t>
      </w:r>
      <w:r>
        <w:t>(</w:t>
      </w:r>
      <w:hyperlink r:id="rId10" w:anchor="table" w:history="1">
        <w:r w:rsidRPr="004E4919">
          <w:rPr>
            <w:rStyle w:val="Hyperlink"/>
          </w:rPr>
          <w:t>https://calnetweb.berkeley.edu/calnet-me/info-new-users/grace-periods#table</w:t>
        </w:r>
      </w:hyperlink>
      <w:r>
        <w:t xml:space="preserve">) is three months after an employee is no longer on payroll -- specifically, 90 days after the termination date. During this grace period (when the account does not have an active affiliation, but is not yet expired) some campus services are still available (e.g., </w:t>
      </w:r>
      <w:proofErr w:type="spellStart"/>
      <w:r>
        <w:t>bConnected</w:t>
      </w:r>
      <w:proofErr w:type="spellEnd"/>
      <w:r>
        <w:t xml:space="preserve">) while others are not (e.g., blu.berkeley.edu). Service providers determine access requirements for their given service. </w:t>
      </w:r>
    </w:p>
    <w:p w14:paraId="32D658D0" w14:textId="77777777" w:rsidR="00421C55" w:rsidRDefault="00421C55" w:rsidP="00421C55">
      <w:pPr>
        <w:spacing w:after="0" w:line="240" w:lineRule="auto"/>
      </w:pPr>
    </w:p>
    <w:p w14:paraId="43183262" w14:textId="77777777" w:rsidR="00421C55" w:rsidRDefault="00421C55"/>
    <w:sectPr w:rsidR="00421C55" w:rsidSect="00421C55">
      <w:footerReference w:type="default" r:id="rId11"/>
      <w:pgSz w:w="15840" w:h="12240" w:orient="landscape"/>
      <w:pgMar w:top="63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26244" w14:textId="77777777" w:rsidR="00AB6268" w:rsidRDefault="00AB6268" w:rsidP="00421C55">
      <w:pPr>
        <w:spacing w:after="0" w:line="240" w:lineRule="auto"/>
      </w:pPr>
      <w:r>
        <w:separator/>
      </w:r>
    </w:p>
  </w:endnote>
  <w:endnote w:type="continuationSeparator" w:id="0">
    <w:p w14:paraId="2543DFFD" w14:textId="77777777" w:rsidR="00AB6268" w:rsidRDefault="00AB6268" w:rsidP="00421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C1973" w14:textId="71CF2CB0" w:rsidR="00421C55" w:rsidRPr="00421C55" w:rsidRDefault="00421C55" w:rsidP="00421C55">
    <w:pPr>
      <w:pBdr>
        <w:top w:val="nil"/>
        <w:left w:val="nil"/>
        <w:bottom w:val="nil"/>
        <w:right w:val="nil"/>
        <w:between w:val="nil"/>
      </w:pBdr>
      <w:tabs>
        <w:tab w:val="center" w:pos="6750"/>
        <w:tab w:val="right" w:pos="14220"/>
      </w:tabs>
      <w:rPr>
        <w:color w:val="000000"/>
        <w:sz w:val="20"/>
        <w:szCs w:val="20"/>
      </w:rPr>
    </w:pPr>
    <w:r>
      <w:rPr>
        <w:color w:val="000000"/>
        <w:sz w:val="20"/>
        <w:szCs w:val="20"/>
      </w:rPr>
      <w:t>ISO–</w:t>
    </w:r>
    <w:proofErr w:type="spellStart"/>
    <w:r>
      <w:rPr>
        <w:color w:val="000000"/>
        <w:sz w:val="20"/>
        <w:szCs w:val="20"/>
      </w:rPr>
      <w:t>ITPolicy</w:t>
    </w:r>
    <w:proofErr w:type="spellEnd"/>
    <w:r>
      <w:rPr>
        <w:color w:val="000000"/>
        <w:sz w:val="20"/>
        <w:szCs w:val="20"/>
      </w:rPr>
      <w:t xml:space="preserve"> (</w:t>
    </w:r>
    <w:hyperlink r:id="rId1">
      <w:r>
        <w:rPr>
          <w:color w:val="0000FF"/>
          <w:sz w:val="20"/>
          <w:szCs w:val="20"/>
          <w:u w:val="single"/>
        </w:rPr>
        <w:t>itpolicy@berkeley.edu</w:t>
      </w:r>
    </w:hyperlink>
    <w:r>
      <w:rPr>
        <w:color w:val="000000"/>
        <w:sz w:val="20"/>
        <w:szCs w:val="20"/>
      </w:rPr>
      <w:t xml:space="preserve">) </w:t>
    </w:r>
    <w:r>
      <w:rPr>
        <w:color w:val="000000"/>
        <w:sz w:val="20"/>
        <w:szCs w:val="20"/>
      </w:rPr>
      <w:tab/>
    </w:r>
    <w:proofErr w:type="spellStart"/>
    <w:r>
      <w:rPr>
        <w:color w:val="000000"/>
        <w:sz w:val="20"/>
        <w:szCs w:val="20"/>
      </w:rPr>
      <w:t>pg</w:t>
    </w:r>
    <w:proofErr w:type="spellEnd"/>
    <w:r>
      <w:rPr>
        <w:color w:val="000000"/>
        <w:sz w:val="20"/>
        <w:szCs w:val="20"/>
      </w:rPr>
      <w:t xml:space="preserve"> </w:t>
    </w:r>
    <w:r>
      <w:rPr>
        <w:color w:val="000000"/>
        <w:sz w:val="20"/>
        <w:szCs w:val="20"/>
      </w:rPr>
      <w:fldChar w:fldCharType="begin"/>
    </w:r>
    <w:r>
      <w:rPr>
        <w:color w:val="000000"/>
        <w:sz w:val="20"/>
        <w:szCs w:val="20"/>
      </w:rPr>
      <w:instrText>PAGE</w:instrText>
    </w:r>
    <w:r>
      <w:rPr>
        <w:color w:val="000000"/>
        <w:sz w:val="20"/>
        <w:szCs w:val="20"/>
      </w:rPr>
      <w:fldChar w:fldCharType="separate"/>
    </w:r>
    <w:r>
      <w:rPr>
        <w:color w:val="000000"/>
        <w:sz w:val="20"/>
        <w:szCs w:val="20"/>
      </w:rPr>
      <w:t>1</w:t>
    </w:r>
    <w:r>
      <w:rPr>
        <w:color w:val="000000"/>
        <w:sz w:val="20"/>
        <w:szCs w:val="20"/>
      </w:rPr>
      <w:fldChar w:fldCharType="end"/>
    </w:r>
    <w:r>
      <w:rPr>
        <w:color w:val="000000"/>
        <w:sz w:val="20"/>
        <w:szCs w:val="20"/>
      </w:rPr>
      <w:t xml:space="preserve"> of</w:t>
    </w:r>
    <w:r>
      <w:rPr>
        <w:sz w:val="20"/>
        <w:szCs w:val="20"/>
      </w:rPr>
      <w:t xml:space="preserve"> </w:t>
    </w:r>
    <w:r>
      <w:rPr>
        <w:sz w:val="20"/>
        <w:szCs w:val="20"/>
      </w:rPr>
      <w:fldChar w:fldCharType="begin"/>
    </w:r>
    <w:r>
      <w:rPr>
        <w:sz w:val="20"/>
        <w:szCs w:val="20"/>
      </w:rPr>
      <w:instrText>NUMPAGES</w:instrText>
    </w:r>
    <w:r>
      <w:rPr>
        <w:sz w:val="20"/>
        <w:szCs w:val="20"/>
      </w:rPr>
      <w:fldChar w:fldCharType="separate"/>
    </w:r>
    <w:r>
      <w:rPr>
        <w:sz w:val="20"/>
        <w:szCs w:val="20"/>
      </w:rPr>
      <w:t>2</w:t>
    </w:r>
    <w:r>
      <w:rPr>
        <w:sz w:val="20"/>
        <w:szCs w:val="20"/>
      </w:rPr>
      <w:fldChar w:fldCharType="end"/>
    </w:r>
    <w:r>
      <w:rPr>
        <w:color w:val="000000"/>
        <w:sz w:val="20"/>
        <w:szCs w:val="20"/>
      </w:rPr>
      <w:tab/>
      <w:t xml:space="preserve">Rev: </w:t>
    </w:r>
    <w:r>
      <w:rPr>
        <w:sz w:val="20"/>
        <w:szCs w:val="20"/>
      </w:rPr>
      <w:t>8/1</w:t>
    </w:r>
    <w:r>
      <w:rPr>
        <w:color w:val="000000"/>
        <w:sz w:val="20"/>
        <w:szCs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C87F5" w14:textId="77777777" w:rsidR="00AB6268" w:rsidRDefault="00AB6268" w:rsidP="00421C55">
      <w:pPr>
        <w:spacing w:after="0" w:line="240" w:lineRule="auto"/>
      </w:pPr>
      <w:r>
        <w:separator/>
      </w:r>
    </w:p>
  </w:footnote>
  <w:footnote w:type="continuationSeparator" w:id="0">
    <w:p w14:paraId="13E0D513" w14:textId="77777777" w:rsidR="00AB6268" w:rsidRDefault="00AB6268" w:rsidP="00421C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D09"/>
    <w:multiLevelType w:val="multilevel"/>
    <w:tmpl w:val="342601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4E805C84"/>
    <w:multiLevelType w:val="multilevel"/>
    <w:tmpl w:val="ED6E28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C55"/>
    <w:rsid w:val="001E51B2"/>
    <w:rsid w:val="00313E01"/>
    <w:rsid w:val="00421C55"/>
    <w:rsid w:val="004E5129"/>
    <w:rsid w:val="00833C22"/>
    <w:rsid w:val="00AB6268"/>
    <w:rsid w:val="00EA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9AC021"/>
  <w15:chartTrackingRefBased/>
  <w15:docId w15:val="{6B33FC3E-BDC7-1E41-B54A-CDE0A9FFD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1C55"/>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C55"/>
    <w:rPr>
      <w:color w:val="0563C1" w:themeColor="hyperlink"/>
      <w:u w:val="single"/>
    </w:rPr>
  </w:style>
  <w:style w:type="paragraph" w:styleId="BalloonText">
    <w:name w:val="Balloon Text"/>
    <w:basedOn w:val="Normal"/>
    <w:link w:val="BalloonTextChar"/>
    <w:uiPriority w:val="99"/>
    <w:semiHidden/>
    <w:unhideWhenUsed/>
    <w:rsid w:val="00421C5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21C55"/>
    <w:rPr>
      <w:rFonts w:ascii="Times New Roman" w:eastAsia="Calibri" w:hAnsi="Times New Roman" w:cs="Times New Roman"/>
      <w:sz w:val="18"/>
      <w:szCs w:val="18"/>
    </w:rPr>
  </w:style>
  <w:style w:type="paragraph" w:styleId="Header">
    <w:name w:val="header"/>
    <w:basedOn w:val="Normal"/>
    <w:link w:val="HeaderChar"/>
    <w:uiPriority w:val="99"/>
    <w:unhideWhenUsed/>
    <w:rsid w:val="00421C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C55"/>
    <w:rPr>
      <w:rFonts w:ascii="Calibri" w:eastAsia="Calibri" w:hAnsi="Calibri" w:cs="Calibri"/>
      <w:sz w:val="22"/>
      <w:szCs w:val="22"/>
    </w:rPr>
  </w:style>
  <w:style w:type="paragraph" w:styleId="Footer">
    <w:name w:val="footer"/>
    <w:basedOn w:val="Normal"/>
    <w:link w:val="FooterChar"/>
    <w:uiPriority w:val="99"/>
    <w:unhideWhenUsed/>
    <w:rsid w:val="00421C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C55"/>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ity.berkeley.edu/sites/default/files/requestfortempexceptionalearlydisablingform.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tpolicy@berkeley.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alnetweb.berkeley.edu/calnet-me/info-new-users/grace-periods" TargetMode="External"/><Relationship Id="rId4" Type="http://schemas.openxmlformats.org/officeDocument/2006/relationships/webSettings" Target="webSettings.xml"/><Relationship Id="rId9" Type="http://schemas.openxmlformats.org/officeDocument/2006/relationships/hyperlink" Target="https://ethics.berkeley.edu/privacy/resources/authorization-access-electronic-communication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tpolicy@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562</Words>
  <Characters>3374</Characters>
  <Application>Microsoft Office Word</Application>
  <DocSecurity>0</DocSecurity>
  <Lines>91</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2019-09-18T03:33:00Z</cp:lastPrinted>
  <dcterms:created xsi:type="dcterms:W3CDTF">2019-09-18T03:33:00Z</dcterms:created>
  <dcterms:modified xsi:type="dcterms:W3CDTF">2019-09-18T03:39:00Z</dcterms:modified>
</cp:coreProperties>
</file>